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 w:name="homiletics-analysis-2-timothy-2"/>
    <w:p>
      <w:pPr>
        <w:pStyle w:val="Heading1"/>
      </w:pPr>
      <w:r>
        <w:t xml:space="preserve">Homiletics Analysis: 2 Timothy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Timothy 2 is Paul’s sustained charge to Timothy regarding faithful gospel ministry under conditions of hardship, opposition, and doctrinal threat. The chapter moves through three interlocking movements. First, Paul calls Timothy to be strengthened in grace and to entrust what he has received to faithful men who will carry it forward — framing gospel ministry as a chain of transmission across generations (vv. 1–2). He then layers three metaphors — the soldier, the athlete, and the farmer — each pressing Timothy toward single-minded devotion and patient endurance in the work (vv. 3–7). The christological anchor follows: Christ risen from the dead, of the seed of David, is the fixed point around which all suffering and endurance orbit (vv. 8–13). Paul then pivots to the doctrinal threat, warning against word-battles that ruin hearers, calling Timothy to handle the word accurately, and confronting the false teachers Hymenaeus and Philetus, whose error about the resurrection has shipwrecked some (vv. 14–18). The chapter closes with a double foundation — the Lord’s firm seal over His own and the obligation of departure from iniquity — followed by the household metaphor distinguishing vessels of honor from vessels of dishonor, and a final charge to pursue righteousness while avoiding foolish controversies, handling opponents with gentleness in hope of their repentance (vv. 19–26).</w:t>
      </w:r>
    </w:p>
    <w:p>
      <w:pPr>
        <w:pStyle w:val="BodyText"/>
      </w:pPr>
      <w:r>
        <w:rPr>
          <w:b/>
          <w:bCs/>
        </w:rPr>
        <w:t xml:space="preserve">This Text — Intent:</w:t>
      </w:r>
    </w:p>
    <w:p>
      <w:pPr>
        <w:pStyle w:val="BodyText"/>
      </w:pPr>
      <w:r>
        <w:t xml:space="preserve">God is seeking to produce in Timothy — and in every minister and Christian who reads this letter — a settled, gospel-grounded resolve to endure. The chapter does not merely describe what ministry looks like; it is an act of apostolic reinforcement intended to brace Timothy against the twin pressures of external hardship and internal doctrinal erosion. The intent is not information transfer but spine-stiffening: that the reader would come away with a clearer understanding of why endurance is possible (Christ’s resurrection, God’s firm foundation), what endurance looks like concretely (the soldier, athlete, farmer; the workman; the gentle corrector), and what is at stake in it (the elect obtaining salvation, opponents potentially coming to repentance). Paul wants Timothy to feel the weight of his calling, see the shape of his suffering in light of Christ’s own, and be equipped with both conviction and demeanor to discharge his ministry faithfully.</w:t>
      </w:r>
    </w:p>
    <w:p>
      <w:r>
        <w:pict>
          <v:rect style="width:0;height:1.5pt" o:hralign="center" o:hrstd="t" o:hr="t"/>
        </w:pict>
      </w:r>
    </w:p>
    <w:p>
      <w:pPr>
        <w:pStyle w:val="FirstParagraph"/>
      </w:pPr>
      <w:r>
        <w:rPr>
          <w:b/>
          <w:bCs/>
        </w:rPr>
        <w:t xml:space="preserve">Subject Sentence:</w:t>
      </w:r>
      <w:r>
        <w:t xml:space="preserve"> </w:t>
      </w:r>
      <w:r>
        <w:t xml:space="preserve">Gospel ministry demands enduring, grace-fueled faithfulness amid hardship and false teaching.</w:t>
      </w:r>
    </w:p>
    <w:p>
      <w:r>
        <w:pict>
          <v:rect style="width:0;height:1.5pt" o:hralign="center" o:hrstd="t" o:hr="t"/>
        </w:pict>
      </w:r>
    </w:p>
    <w:p>
      <w:pPr>
        <w:pStyle w:val="FirstParagraph"/>
      </w:pPr>
      <w:r>
        <w:rPr>
          <w:b/>
          <w:bCs/>
        </w:rPr>
        <w:t xml:space="preserve">Primary Claim:</w:t>
      </w:r>
      <w:r>
        <w:t xml:space="preserve"> </w:t>
      </w:r>
      <w:r>
        <w:t xml:space="preserve">God is calling every minister — and every believer entrusted with gospel truth — to endure with disciplined resolve, because the risen Christ and His unshakeable foundation make such endurance both possible and necessary for the salvation of the elect.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verses 1–2 and the transmission of sound doctrine:</w:t>
      </w:r>
      <w:r>
        <w:t xml:space="preserve"> </w:t>
      </w:r>
      <w:r>
        <w:t xml:space="preserve">The command to entrust</w:t>
      </w:r>
      <w:r>
        <w:t xml:space="preserve"> </w:t>
      </w:r>
      <w:r>
        <w:t xml:space="preserve">“faithful men”</w:t>
      </w:r>
      <w:r>
        <w:t xml:space="preserve"> </w:t>
      </w:r>
      <w:r>
        <w:t xml:space="preserve">with Paul’s teaching has generated debate about its ecclesiological implications. Baptist and broadly evangelical readings tend to emphasize the individual responsibility of Timothy and by extension any pastor to identify and train reliable disciples. Roman Catholic and some Anglican readings have historically leveraged this passage for apostolic succession arguments — that the transmission chain implies a formal, ordained lineage of authority. The Reformed reading acknowledges that verses 1–2 describe genuine succession in</w:t>
      </w:r>
      <w:r>
        <w:t xml:space="preserve"> </w:t>
      </w:r>
      <w:r>
        <w:rPr>
          <w:i/>
          <w:iCs/>
        </w:rPr>
        <w:t xml:space="preserve">doctrine</w:t>
      </w:r>
      <w:r>
        <w:t xml:space="preserve"> </w:t>
      </w:r>
      <w:r>
        <w:t xml:space="preserve">carried by</w:t>
      </w:r>
      <w:r>
        <w:t xml:space="preserve"> </w:t>
      </w:r>
      <w:r>
        <w:rPr>
          <w:i/>
          <w:iCs/>
        </w:rPr>
        <w:t xml:space="preserve">proven character</w:t>
      </w:r>
      <w:r>
        <w:t xml:space="preserve">, not a sacramental transfer of office. The word</w:t>
      </w:r>
      <w:r>
        <w:t xml:space="preserve"> </w:t>
      </w:r>
      <w:r>
        <w:rPr>
          <w:i/>
          <w:iCs/>
        </w:rPr>
        <w:t xml:space="preserve">pistos</w:t>
      </w:r>
      <w:r>
        <w:t xml:space="preserve"> </w:t>
      </w:r>
      <w:r>
        <w:t xml:space="preserve">(faithful/trustworthy) is the key qualifier — the chain is one of fidelity to the deposit, not merely institutional continuity. The verse does not support formal apostolic succession; it requires that the content entrusted be the governing criterion for who teaches.</w:t>
      </w:r>
    </w:p>
    <w:p>
      <w:pPr>
        <w:pStyle w:val="BodyText"/>
      </w:pPr>
      <w:r>
        <w:rPr>
          <w:b/>
          <w:bCs/>
        </w:rPr>
        <w:t xml:space="preserve">On the</w:t>
      </w:r>
      <w:r>
        <w:rPr>
          <w:b/>
          <w:bCs/>
        </w:rPr>
        <w:t xml:space="preserve"> </w:t>
      </w:r>
      <w:r>
        <w:rPr>
          <w:b/>
          <w:bCs/>
        </w:rPr>
        <w:t xml:space="preserve">“elect”</w:t>
      </w:r>
      <w:r>
        <w:rPr>
          <w:b/>
          <w:bCs/>
        </w:rPr>
        <w:t xml:space="preserve"> </w:t>
      </w:r>
      <w:r>
        <w:rPr>
          <w:b/>
          <w:bCs/>
        </w:rPr>
        <w:t xml:space="preserve">in verse 10:</w:t>
      </w:r>
      <w:r>
        <w:t xml:space="preserve"> </w:t>
      </w:r>
      <w:r>
        <w:t xml:space="preserve">Paul says he endures everything</w:t>
      </w:r>
      <w:r>
        <w:t xml:space="preserve"> </w:t>
      </w:r>
      <w:r>
        <w:t xml:space="preserve">“for the sake of the elect, so that they also may obtain the salvation that is in Christ Jesus.”</w:t>
      </w:r>
      <w:r>
        <w:t xml:space="preserve"> </w:t>
      </w:r>
      <w:r>
        <w:t xml:space="preserve">Arminian and Wesleyan readings typically interpret</w:t>
      </w:r>
      <w:r>
        <w:t xml:space="preserve"> </w:t>
      </w:r>
      <w:r>
        <w:t xml:space="preserve">“elect”</w:t>
      </w:r>
      <w:r>
        <w:t xml:space="preserve"> </w:t>
      </w:r>
      <w:r>
        <w:t xml:space="preserve">as referring to those who will believe — a foreseen group — rather than those sovereignly chosen, treating the term as descriptive of a future condition rather than a prior divine determination. The Reformed reading presses that</w:t>
      </w:r>
      <w:r>
        <w:t xml:space="preserve"> </w:t>
      </w:r>
      <w:r>
        <w:rPr>
          <w:i/>
          <w:iCs/>
        </w:rPr>
        <w:t xml:space="preserve">eklektōn</w:t>
      </w:r>
      <w:r>
        <w:t xml:space="preserve"> </w:t>
      </w:r>
      <w:r>
        <w:t xml:space="preserve">here carries its full weight: Paul endures because God has a people yet to be gathered, and the preaching of the gospel is the means appointed for their gathering. This is not merely Paul’s pastoral sentiment; it is his theology of sovereignty and means working in tandem. The passage is a direct parallel to Acts 18:9–10 (</w:t>
      </w:r>
      <w:r>
        <w:t xml:space="preserve">“I have many people in this city”</w:t>
      </w:r>
      <w:r>
        <w:t xml:space="preserve">) and supports the Reformed understanding that God’s electing purpose is what underwrites missionary and ministerial endurance, not merely its aspiration.</w:t>
      </w:r>
    </w:p>
    <w:p>
      <w:pPr>
        <w:pStyle w:val="BodyText"/>
      </w:pPr>
      <w:r>
        <w:rPr>
          <w:b/>
          <w:bCs/>
        </w:rPr>
        <w:t xml:space="preserve">On</w:t>
      </w:r>
      <w:r>
        <w:rPr>
          <w:b/>
          <w:bCs/>
        </w:rPr>
        <w:t xml:space="preserve"> </w:t>
      </w:r>
      <w:r>
        <w:rPr>
          <w:b/>
          <w:bCs/>
        </w:rPr>
        <w:t xml:space="preserve">“the resurrection has already happened”</w:t>
      </w:r>
      <w:r>
        <w:rPr>
          <w:b/>
          <w:bCs/>
        </w:rPr>
        <w:t xml:space="preserve"> </w:t>
      </w:r>
      <w:r>
        <w:rPr>
          <w:b/>
          <w:bCs/>
        </w:rPr>
        <w:t xml:space="preserve">(v. 18) and the nature of the error:</w:t>
      </w:r>
      <w:r>
        <w:t xml:space="preserve"> </w:t>
      </w:r>
      <w:r>
        <w:t xml:space="preserve">Hymenaeus and Philetus are said to have</w:t>
      </w:r>
      <w:r>
        <w:t xml:space="preserve"> </w:t>
      </w:r>
      <w:r>
        <w:t xml:space="preserve">“swerved from the truth”</w:t>
      </w:r>
      <w:r>
        <w:t xml:space="preserve"> </w:t>
      </w:r>
      <w:r>
        <w:t xml:space="preserve">by saying the resurrection has already happened. This has been interpreted variously: some liberal-critical readings see this as a proto-Gnostic over-realized eschatology (the resurrection is purely spiritual, already complete in conversion or spiritual experience). Some charismatic readings have been cautious here, given that emphasis on present-tense experience of resurrection life can — if not tethered to a future bodily resurrection — drift in this direction. The Reformed reading does not deny present-tense resurrection participation (cf. Romans 6, Colossians 3) but insists the text is correcting those who</w:t>
      </w:r>
      <w:r>
        <w:t xml:space="preserve"> </w:t>
      </w:r>
      <w:r>
        <w:rPr>
          <w:i/>
          <w:iCs/>
        </w:rPr>
        <w:t xml:space="preserve">deny</w:t>
      </w:r>
      <w:r>
        <w:t xml:space="preserve"> </w:t>
      </w:r>
      <w:r>
        <w:t xml:space="preserve">the future bodily dimension, not those who celebrate the present spiritual dimension. The error is not</w:t>
      </w:r>
      <w:r>
        <w:t xml:space="preserve"> </w:t>
      </w:r>
      <w:r>
        <w:t xml:space="preserve">“too much resurrection emphasis now”</w:t>
      </w:r>
      <w:r>
        <w:t xml:space="preserve"> </w:t>
      </w:r>
      <w:r>
        <w:t xml:space="preserve">but</w:t>
      </w:r>
      <w:r>
        <w:t xml:space="preserve"> </w:t>
      </w:r>
      <w:r>
        <w:t xml:space="preserve">“no future bodily resurrection to come.”</w:t>
      </w:r>
      <w:r>
        <w:t xml:space="preserve"> </w:t>
      </w:r>
      <w:r>
        <w:t xml:space="preserve">Paul’s anchor in verse 8 —</w:t>
      </w:r>
      <w:r>
        <w:t xml:space="preserve"> </w:t>
      </w:r>
      <w:r>
        <w:t xml:space="preserve">“Christ Jesus, risen from the dead”</w:t>
      </w:r>
      <w:r>
        <w:t xml:space="preserve"> </w:t>
      </w:r>
      <w:r>
        <w:t xml:space="preserve">— frames the true resurrection as historical, bodily, and paradigmatic for the believer’s own future hope.</w:t>
      </w:r>
    </w:p>
    <w:p>
      <w:pPr>
        <w:pStyle w:val="BodyText"/>
      </w:pPr>
      <w:r>
        <w:rPr>
          <w:b/>
          <w:bCs/>
        </w:rPr>
        <w:t xml:space="preserve">On the</w:t>
      </w:r>
      <w:r>
        <w:rPr>
          <w:b/>
          <w:bCs/>
        </w:rPr>
        <w:t xml:space="preserve"> </w:t>
      </w:r>
      <w:r>
        <w:rPr>
          <w:b/>
          <w:bCs/>
        </w:rPr>
        <w:t xml:space="preserve">“vessels of honor and dishonor”</w:t>
      </w:r>
      <w:r>
        <w:rPr>
          <w:b/>
          <w:bCs/>
        </w:rPr>
        <w:t xml:space="preserve"> </w:t>
      </w:r>
      <w:r>
        <w:rPr>
          <w:b/>
          <w:bCs/>
        </w:rPr>
        <w:t xml:space="preserve">(vv. 20–21):</w:t>
      </w:r>
      <w:r>
        <w:t xml:space="preserve"> </w:t>
      </w:r>
      <w:r>
        <w:t xml:space="preserve">This passage has been read both as referring to people within the church (the faithful versus the false teachers) and as referring to</w:t>
      </w:r>
      <w:r>
        <w:t xml:space="preserve"> </w:t>
      </w:r>
      <w:r>
        <w:rPr>
          <w:i/>
          <w:iCs/>
        </w:rPr>
        <w:t xml:space="preserve">the same person’s</w:t>
      </w:r>
      <w:r>
        <w:t xml:space="preserve"> </w:t>
      </w:r>
      <w:r>
        <w:t xml:space="preserve">potential for either faithful or unfaithful ministry depending on their choices — the latter reading used by Arminian interpreters to suggest that even a true believer can become a</w:t>
      </w:r>
      <w:r>
        <w:t xml:space="preserve"> </w:t>
      </w:r>
      <w:r>
        <w:t xml:space="preserve">“vessel of dishonor.”</w:t>
      </w:r>
      <w:r>
        <w:t xml:space="preserve"> </w:t>
      </w:r>
      <w:r>
        <w:t xml:space="preserve">The Reformed reading, consistent with the flow of the chapter, takes the primary referent as distinguishing true from false teachers within the household — those who handle the word faithfully versus those like Hymenaeus and Philetus. Verse 21’s call to</w:t>
      </w:r>
      <w:r>
        <w:t xml:space="preserve"> </w:t>
      </w:r>
      <w:r>
        <w:t xml:space="preserve">“cleanse oneself”</w:t>
      </w:r>
      <w:r>
        <w:t xml:space="preserve"> </w:t>
      </w:r>
      <w:r>
        <w:t xml:space="preserve">is not a threat against loss of election but an exhortation to intentional sanctification and separation from error as the path of usefulness. The vessel metaphor illustrates the</w:t>
      </w:r>
      <w:r>
        <w:t xml:space="preserve"> </w:t>
      </w:r>
      <w:r>
        <w:rPr>
          <w:i/>
          <w:iCs/>
        </w:rPr>
        <w:t xml:space="preserve">function</w:t>
      </w:r>
      <w:r>
        <w:t xml:space="preserve"> </w:t>
      </w:r>
      <w:r>
        <w:t xml:space="preserve">of honorable versus dishonorable ministers within God’s household, not the ultimate ontological status of the true believer’s salvation.</w:t>
      </w:r>
    </w:p>
    <w:p>
      <w:pPr>
        <w:pStyle w:val="BodyText"/>
      </w:pPr>
      <w:r>
        <w:t xml:space="preserve">No significant Dispensational divergence on this passage. The passage’s focus is on gospel ministry, doctrinal faithfulness, and endurance — not on Israel/Church distinctions or prophetic literalism issues.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Timothy 1:6–14</w:t>
      </w:r>
      <w:r>
        <w:t xml:space="preserve"> </w:t>
      </w:r>
      <w:r>
        <w:t xml:space="preserve">— The immediately preceding context: Paul’s charge to</w:t>
      </w:r>
      <w:r>
        <w:t xml:space="preserve"> </w:t>
      </w:r>
      <w:r>
        <w:t xml:space="preserve">“fan into flame the gift of God”</w:t>
      </w:r>
      <w:r>
        <w:t xml:space="preserve"> </w:t>
      </w:r>
      <w:r>
        <w:t xml:space="preserve">and</w:t>
      </w:r>
      <w:r>
        <w:t xml:space="preserve"> </w:t>
      </w:r>
      <w:r>
        <w:t xml:space="preserve">“guard the good deposit”</w:t>
      </w:r>
      <w:r>
        <w:t xml:space="preserve"> </w:t>
      </w:r>
      <w:r>
        <w:t xml:space="preserve">establishes the ministerial framework that chapter 2 unpacks in detail; the Primary Claim of chapter 2 cannot be fully heard without the chapter 1 groundwork.</w:t>
      </w:r>
    </w:p>
    <w:p>
      <w:pPr>
        <w:numPr>
          <w:ilvl w:val="0"/>
          <w:numId w:val="1001"/>
        </w:numPr>
      </w:pPr>
      <w:r>
        <w:rPr>
          <w:b/>
          <w:bCs/>
        </w:rPr>
        <w:t xml:space="preserve">1 Corinthians 9:24–27</w:t>
      </w:r>
      <w:r>
        <w:t xml:space="preserve"> </w:t>
      </w:r>
      <w:r>
        <w:t xml:space="preserve">— Paul’s own use of the athlete metaphor for ministry discipline, pressing the same point as verses 3–7: effective ministry requires rigorous single-mindedness, because the prize is real and the stakes are permanent.</w:t>
      </w:r>
    </w:p>
    <w:p>
      <w:pPr>
        <w:numPr>
          <w:ilvl w:val="0"/>
          <w:numId w:val="1001"/>
        </w:numPr>
      </w:pPr>
      <w:r>
        <w:rPr>
          <w:b/>
          <w:bCs/>
        </w:rPr>
        <w:t xml:space="preserve">Romans 8:28–39</w:t>
      </w:r>
      <w:r>
        <w:t xml:space="preserve"> </w:t>
      </w:r>
      <w:r>
        <w:t xml:space="preserve">— The theological grounding for Paul’s</w:t>
      </w:r>
      <w:r>
        <w:t xml:space="preserve"> </w:t>
      </w:r>
      <w:r>
        <w:t xml:space="preserve">“endurance for the sake of the elect”</w:t>
      </w:r>
      <w:r>
        <w:t xml:space="preserve"> </w:t>
      </w:r>
      <w:r>
        <w:t xml:space="preserve">(v. 10): God’s sovereign purpose for His people is the unshakeable foundation that makes ministerial endurance rational and not merely sentimental; nothing can separate the elect from the love of God in Christ.</w:t>
      </w:r>
    </w:p>
    <w:p>
      <w:pPr>
        <w:numPr>
          <w:ilvl w:val="0"/>
          <w:numId w:val="1001"/>
        </w:numPr>
      </w:pPr>
      <w:r>
        <w:rPr>
          <w:b/>
          <w:bCs/>
        </w:rPr>
        <w:t xml:space="preserve">John 10:27–29</w:t>
      </w:r>
      <w:r>
        <w:t xml:space="preserve"> </w:t>
      </w:r>
      <w:r>
        <w:t xml:space="preserve">—</w:t>
      </w:r>
      <w:r>
        <w:t xml:space="preserve"> </w:t>
      </w:r>
      <w:r>
        <w:t xml:space="preserve">“No one can snatch them out of my hand”</w:t>
      </w:r>
      <w:r>
        <w:t xml:space="preserve"> </w:t>
      </w:r>
      <w:r>
        <w:t xml:space="preserve">— the christological grounding for the</w:t>
      </w:r>
      <w:r>
        <w:t xml:space="preserve"> </w:t>
      </w:r>
      <w:r>
        <w:t xml:space="preserve">“firm foundation”</w:t>
      </w:r>
      <w:r>
        <w:t xml:space="preserve"> </w:t>
      </w:r>
      <w:r>
        <w:t xml:space="preserve">of verse 19; the Lord knows His own, and that knowledge is not uncertain but sealed.</w:t>
      </w:r>
    </w:p>
    <w:p>
      <w:pPr>
        <w:numPr>
          <w:ilvl w:val="0"/>
          <w:numId w:val="1001"/>
        </w:numPr>
      </w:pPr>
      <w:r>
        <w:rPr>
          <w:b/>
          <w:bCs/>
        </w:rPr>
        <w:t xml:space="preserve">Ezekiel 9:4–6 / Numbers 16:5</w:t>
      </w:r>
      <w:r>
        <w:t xml:space="preserve"> </w:t>
      </w:r>
      <w:r>
        <w:t xml:space="preserve">— The background to Paul’s citation in verse 19 (</w:t>
      </w:r>
      <w:r>
        <w:t xml:space="preserve">“The Lord knows those who are his”</w:t>
      </w:r>
      <w:r>
        <w:t xml:space="preserve"> </w:t>
      </w:r>
      <w:r>
        <w:t xml:space="preserve">/</w:t>
      </w:r>
      <w:r>
        <w:t xml:space="preserve"> </w:t>
      </w:r>
      <w:r>
        <w:t xml:space="preserve">“Let everyone who names the name of the Lord depart from iniquity”</w:t>
      </w:r>
      <w:r>
        <w:t xml:space="preserve">); both OT passages ground the assurance of divine ownership in contexts of apostasy and judgment — Paul is reaching back into the canon to show that God’s distinguishing knowledge of His own is the ancient, covenant-rooted anchor for Timothy’s present situation.</w:t>
      </w:r>
    </w:p>
    <w:p>
      <w:r>
        <w:pict>
          <v:rect style="width:0;height:1.5pt" o:hralign="center" o:hrstd="t" o:hr="t"/>
        </w:pict>
      </w:r>
    </w:p>
    <w:p>
      <w:pPr>
        <w:pStyle w:val="FirstParagraph"/>
      </w:pPr>
      <w:r>
        <w:rPr>
          <w:b/>
          <w:bCs/>
        </w:rPr>
        <w:t xml:space="preserve">Aim:</w:t>
      </w:r>
      <w:r>
        <w:t xml:space="preserve"> </w:t>
      </w:r>
      <w:r>
        <w:t xml:space="preserve">To equip ministers and believers to understand that faithful endurance in gospel work is not stoic willpower but grace-empowered resolve rooted in Christ’s resurrection, God’s sovereign protection of the elect, and the firm foundation that holds even when doctrine erodes around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“Be strengthened in the grace that is in Christ Jesus”</w:t>
            </w:r>
            <w:r>
              <w:t xml:space="preserve"> </w:t>
            </w:r>
            <w:r>
              <w:t xml:space="preserve">— the source of ministerial strength is not Timothy’s natural constitution but the grace located in Christ</w:t>
            </w:r>
          </w:p>
        </w:tc>
        <w:tc>
          <w:tcPr/>
          <w:p>
            <w:pPr>
              <w:pStyle w:val="Compact"/>
            </w:pPr>
            <w:r>
              <w:t xml:space="preserve">Imperative (</w:t>
            </w:r>
            <w:r>
              <w:rPr>
                <w:i/>
                <w:iCs/>
              </w:rPr>
              <w:t xml:space="preserve">endynamou</w:t>
            </w:r>
            <w:r>
              <w:t xml:space="preserve">) is passive — be strengthened, not strengthen yourself; grace is the operative agent</w:t>
            </w:r>
          </w:p>
        </w:tc>
      </w:tr>
      <w:tr>
        <w:tc>
          <w:tcPr/>
          <w:p>
            <w:pPr>
              <w:pStyle w:val="Compact"/>
            </w:pPr>
            <w:r>
              <w:t xml:space="preserve">2:2</w:t>
            </w:r>
          </w:p>
        </w:tc>
        <w:tc>
          <w:tcPr/>
          <w:p>
            <w:pPr>
              <w:pStyle w:val="Compact"/>
            </w:pPr>
            <w:r>
              <w:t xml:space="preserve">The deposit Timothy received from Paul is to be entrusted to faithful men who will teach others — a four-generation transmission chain</w:t>
            </w:r>
          </w:p>
        </w:tc>
        <w:tc>
          <w:tcPr/>
          <w:p>
            <w:pPr>
              <w:pStyle w:val="Compact"/>
            </w:pPr>
            <w:r>
              <w:t xml:space="preserve">Paul → Timothy → faithful men → others;</w:t>
            </w:r>
            <w:r>
              <w:t xml:space="preserve"> </w:t>
            </w:r>
            <w:r>
              <w:rPr>
                <w:i/>
                <w:iCs/>
              </w:rPr>
              <w:t xml:space="preserve">pistos</w:t>
            </w:r>
            <w:r>
              <w:t xml:space="preserve"> </w:t>
            </w:r>
            <w:r>
              <w:t xml:space="preserve">(faithful/trustworthy) is the key qualifier for those who receive the trust</w:t>
            </w:r>
          </w:p>
        </w:tc>
      </w:tr>
      <w:tr>
        <w:tc>
          <w:tcPr/>
          <w:p>
            <w:pPr>
              <w:pStyle w:val="Compact"/>
            </w:pPr>
            <w:r>
              <w:t xml:space="preserve">2:3–4</w:t>
            </w:r>
          </w:p>
        </w:tc>
        <w:tc>
          <w:tcPr/>
          <w:p>
            <w:pPr>
              <w:pStyle w:val="Compact"/>
            </w:pPr>
            <w:r>
              <w:t xml:space="preserve">The soldier metaphor: endure hardship, avoid civilian entanglements, please the commanding officer</w:t>
            </w:r>
          </w:p>
        </w:tc>
        <w:tc>
          <w:tcPr/>
          <w:p>
            <w:pPr>
              <w:pStyle w:val="Compact"/>
            </w:pPr>
            <w:r>
              <w:t xml:space="preserve">Single-minded devotion to the one who enlisted; no divided loyalty</w:t>
            </w:r>
          </w:p>
        </w:tc>
      </w:tr>
      <w:tr>
        <w:tc>
          <w:tcPr/>
          <w:p>
            <w:pPr>
              <w:pStyle w:val="Compact"/>
            </w:pPr>
            <w:r>
              <w:t xml:space="preserve">2:5</w:t>
            </w:r>
          </w:p>
        </w:tc>
        <w:tc>
          <w:tcPr/>
          <w:p>
            <w:pPr>
              <w:pStyle w:val="Compact"/>
            </w:pPr>
            <w:r>
              <w:t xml:space="preserve">The athlete metaphor: compete according to the rules or be disqualified</w:t>
            </w:r>
          </w:p>
        </w:tc>
        <w:tc>
          <w:tcPr/>
          <w:p>
            <w:pPr>
              <w:pStyle w:val="Compact"/>
            </w:pPr>
            <w:r>
              <w:t xml:space="preserve">Lawful striving — not mere effort but disciplined effort within the bounds of the calling</w:t>
            </w:r>
          </w:p>
        </w:tc>
      </w:tr>
      <w:tr>
        <w:tc>
          <w:tcPr/>
          <w:p>
            <w:pPr>
              <w:pStyle w:val="Compact"/>
            </w:pPr>
            <w:r>
              <w:t xml:space="preserve">2:6–7</w:t>
            </w:r>
          </w:p>
        </w:tc>
        <w:tc>
          <w:tcPr/>
          <w:p>
            <w:pPr>
              <w:pStyle w:val="Compact"/>
            </w:pPr>
            <w:r>
              <w:t xml:space="preserve">The farmer metaphor: the hard-working farmer is first to share in the crops;</w:t>
            </w:r>
            <w:r>
              <w:t xml:space="preserve"> </w:t>
            </w:r>
            <w:r>
              <w:t xml:space="preserve">“think over what I say, for the Lord will give you understanding”</w:t>
            </w:r>
          </w:p>
        </w:tc>
        <w:tc>
          <w:tcPr/>
          <w:p>
            <w:pPr>
              <w:pStyle w:val="Compact"/>
            </w:pPr>
            <w:r>
              <w:t xml:space="preserve">Effort and reward; Paul acknowledges limits of written instruction — divine illumination required</w:t>
            </w:r>
          </w:p>
        </w:tc>
      </w:tr>
      <w:tr>
        <w:tc>
          <w:tcPr/>
          <w:p>
            <w:pPr>
              <w:pStyle w:val="Compact"/>
            </w:pPr>
            <w:r>
              <w:t xml:space="preserve">2:8</w:t>
            </w:r>
          </w:p>
        </w:tc>
        <w:tc>
          <w:tcPr/>
          <w:p>
            <w:pPr>
              <w:pStyle w:val="Compact"/>
            </w:pPr>
            <w:r>
              <w:t xml:space="preserve">The christological anchor:</w:t>
            </w:r>
            <w:r>
              <w:t xml:space="preserve"> </w:t>
            </w:r>
            <w:r>
              <w:t xml:space="preserve">“Remember Jesus Christ, risen from the dead, of the seed of David, as preached in my gospel”</w:t>
            </w:r>
          </w:p>
        </w:tc>
        <w:tc>
          <w:tcPr/>
          <w:p>
            <w:pPr>
              <w:pStyle w:val="Compact"/>
            </w:pPr>
            <w:r>
              <w:t xml:space="preserve">Resurrection (present hope) and Davidic descent (covenant fulfillment) — both poles of gospel truth held together</w:t>
            </w:r>
          </w:p>
        </w:tc>
      </w:tr>
      <w:tr>
        <w:tc>
          <w:tcPr/>
          <w:p>
            <w:pPr>
              <w:pStyle w:val="Compact"/>
            </w:pPr>
            <w:r>
              <w:t xml:space="preserve">2:9–10</w:t>
            </w:r>
          </w:p>
        </w:tc>
        <w:tc>
          <w:tcPr/>
          <w:p>
            <w:pPr>
              <w:pStyle w:val="Compact"/>
            </w:pPr>
            <w:r>
              <w:t xml:space="preserve">Paul is suffering for the gospel, even to the point of chains — but the word of God is not chained; Paul endures for the sake of the elect obtaining salvation</w:t>
            </w:r>
          </w:p>
        </w:tc>
        <w:tc>
          <w:tcPr/>
          <w:p>
            <w:pPr>
              <w:pStyle w:val="Compact"/>
            </w:pPr>
            <w:r>
              <w:t xml:space="preserve">The distinction between the bound apostle and the unbound word is central; election as the motivation for ministerial endurance</w:t>
            </w:r>
          </w:p>
        </w:tc>
      </w:tr>
      <w:tr>
        <w:tc>
          <w:tcPr/>
          <w:p>
            <w:pPr>
              <w:pStyle w:val="Compact"/>
            </w:pPr>
            <w:r>
              <w:t xml:space="preserve">2:11–13</w:t>
            </w:r>
          </w:p>
        </w:tc>
        <w:tc>
          <w:tcPr/>
          <w:p>
            <w:pPr>
              <w:pStyle w:val="Compact"/>
            </w:pPr>
            <w:r>
              <w:t xml:space="preserve">A</w:t>
            </w:r>
            <w:r>
              <w:t xml:space="preserve"> </w:t>
            </w:r>
            <w:r>
              <w:t xml:space="preserve">“trustworthy saying”</w:t>
            </w:r>
            <w:r>
              <w:t xml:space="preserve">: if we died with Him, we live with Him; if we endure, we reign; if we deny Him, He will deny us; if we are faithless, He remains faithful — for He cannot deny Himself</w:t>
            </w:r>
          </w:p>
        </w:tc>
        <w:tc>
          <w:tcPr/>
          <w:p>
            <w:pPr>
              <w:pStyle w:val="Compact"/>
            </w:pPr>
            <w:r>
              <w:t xml:space="preserve">A structured saying, possibly hymnic; the final line (</w:t>
            </w:r>
            <w:r>
              <w:t xml:space="preserve">“He remains faithful”</w:t>
            </w:r>
            <w:r>
              <w:t xml:space="preserve">) is not comfort for apostasy but the statement that even human faithlessness cannot undermine Christ’s own faithfulness to His word</w:t>
            </w:r>
          </w:p>
        </w:tc>
      </w:tr>
      <w:tr>
        <w:tc>
          <w:tcPr/>
          <w:p>
            <w:pPr>
              <w:pStyle w:val="Compact"/>
            </w:pPr>
            <w:r>
              <w:t xml:space="preserve">2:14</w:t>
            </w:r>
          </w:p>
        </w:tc>
        <w:tc>
          <w:tcPr/>
          <w:p>
            <w:pPr>
              <w:pStyle w:val="Compact"/>
            </w:pPr>
            <w:r>
              <w:t xml:space="preserve">Charge to remind them of these things; warn against</w:t>
            </w:r>
            <w:r>
              <w:t xml:space="preserve"> </w:t>
            </w:r>
            <w:r>
              <w:t xml:space="preserve">“word-battles”</w:t>
            </w:r>
            <w:r>
              <w:t xml:space="preserve"> </w:t>
            </w:r>
            <w:r>
              <w:t xml:space="preserve">(</w:t>
            </w:r>
            <w:r>
              <w:rPr>
                <w:i/>
                <w:iCs/>
              </w:rPr>
              <w:t xml:space="preserve">logomachein</w:t>
            </w:r>
            <w:r>
              <w:t xml:space="preserve">) which are useless and ruin the hearers</w:t>
            </w:r>
          </w:p>
        </w:tc>
        <w:tc>
          <w:tcPr/>
          <w:p>
            <w:pPr>
              <w:pStyle w:val="Compact"/>
            </w:pPr>
            <w:r>
              <w:t xml:space="preserve">The damage is not to the false teacher alone but to those who hear; useless controversy is an act of harm</w:t>
            </w:r>
          </w:p>
        </w:tc>
      </w:tr>
      <w:tr>
        <w:tc>
          <w:tcPr/>
          <w:p>
            <w:pPr>
              <w:pStyle w:val="Compact"/>
            </w:pPr>
            <w:r>
              <w:t xml:space="preserve">2:15</w:t>
            </w:r>
          </w:p>
        </w:tc>
        <w:tc>
          <w:tcPr/>
          <w:p>
            <w:pPr>
              <w:pStyle w:val="Compact"/>
            </w:pPr>
            <w:r>
              <w:t xml:space="preserve">“Do your best to present yourself to God as one approved, a worker who has no need to be ashamed, rightly handling the word of truth”</w:t>
            </w:r>
          </w:p>
        </w:tc>
        <w:tc>
          <w:tcPr/>
          <w:p>
            <w:pPr>
              <w:pStyle w:val="Compact"/>
            </w:pPr>
            <w:r>
              <w:t xml:space="preserve">The famous</w:t>
            </w:r>
            <w:r>
              <w:t xml:space="preserve"> </w:t>
            </w:r>
            <w:r>
              <w:rPr>
                <w:i/>
                <w:iCs/>
              </w:rPr>
              <w:t xml:space="preserve">orthotomounta</w:t>
            </w:r>
            <w:r>
              <w:t xml:space="preserve"> </w:t>
            </w:r>
            <w:r>
              <w:t xml:space="preserve">—</w:t>
            </w:r>
            <w:r>
              <w:t xml:space="preserve"> </w:t>
            </w:r>
            <w:r>
              <w:t xml:space="preserve">“cutting straight”</w:t>
            </w:r>
            <w:r>
              <w:t xml:space="preserve"> </w:t>
            </w:r>
            <w:r>
              <w:t xml:space="preserve">or</w:t>
            </w:r>
            <w:r>
              <w:t xml:space="preserve"> </w:t>
            </w:r>
            <w:r>
              <w:t xml:space="preserve">“handling accurately”</w:t>
            </w:r>
            <w:r>
              <w:t xml:space="preserve">; the positive counterpart to v. 14’s prohibition</w:t>
            </w:r>
          </w:p>
        </w:tc>
      </w:tr>
      <w:tr>
        <w:tc>
          <w:tcPr/>
          <w:p>
            <w:pPr>
              <w:pStyle w:val="Compact"/>
            </w:pPr>
            <w:r>
              <w:t xml:space="preserve">2:16–18</w:t>
            </w:r>
          </w:p>
        </w:tc>
        <w:tc>
          <w:tcPr/>
          <w:p>
            <w:pPr>
              <w:pStyle w:val="Compact"/>
            </w:pPr>
            <w:r>
              <w:t xml:space="preserve">Avoid irreverent babble; it leads to more ungodliness; Hymenaeus and Philetus have swerved from the truth, saying the resurrection has already happened, upsetting the faith of some</w:t>
            </w:r>
          </w:p>
        </w:tc>
        <w:tc>
          <w:tcPr/>
          <w:p>
            <w:pPr>
              <w:pStyle w:val="Compact"/>
            </w:pPr>
            <w:r>
              <w:t xml:space="preserve">Named false teachers; gangrene metaphor — doctrinal error spreads and kills; the specific error: over-realized eschatology denying future bodily resurrection</w:t>
            </w:r>
          </w:p>
        </w:tc>
      </w:tr>
      <w:tr>
        <w:tc>
          <w:tcPr/>
          <w:p>
            <w:pPr>
              <w:pStyle w:val="Compact"/>
            </w:pPr>
            <w:r>
              <w:t xml:space="preserve">2:19</w:t>
            </w:r>
          </w:p>
        </w:tc>
        <w:tc>
          <w:tcPr/>
          <w:p>
            <w:pPr>
              <w:pStyle w:val="Compact"/>
            </w:pPr>
            <w:r>
              <w:t xml:space="preserve">“But God’s firm foundation stands”</w:t>
            </w:r>
            <w:r>
              <w:t xml:space="preserve"> </w:t>
            </w:r>
            <w:r>
              <w:t xml:space="preserve">— bearing two seals:</w:t>
            </w:r>
            <w:r>
              <w:t xml:space="preserve"> </w:t>
            </w:r>
            <w:r>
              <w:t xml:space="preserve">“The Lord knows those who are his”</w:t>
            </w:r>
            <w:r>
              <w:t xml:space="preserve"> </w:t>
            </w:r>
            <w:r>
              <w:t xml:space="preserve">and</w:t>
            </w:r>
            <w:r>
              <w:t xml:space="preserve"> </w:t>
            </w:r>
            <w:r>
              <w:t xml:space="preserve">“Let everyone who names the name of the Lord depart from iniquity”</w:t>
            </w:r>
          </w:p>
        </w:tc>
        <w:tc>
          <w:tcPr/>
          <w:p>
            <w:pPr>
              <w:pStyle w:val="Compact"/>
            </w:pPr>
            <w:r>
              <w:t xml:space="preserve">OT echoes (Numbers 16:5; Isaiah 26:13); the foundation is not shaken by false teaching; it has a divine side (He knows His own) and a human side (depart from iniquity)</w:t>
            </w:r>
          </w:p>
        </w:tc>
      </w:tr>
      <w:tr>
        <w:tc>
          <w:tcPr/>
          <w:p>
            <w:pPr>
              <w:pStyle w:val="Compact"/>
            </w:pPr>
            <w:r>
              <w:t xml:space="preserve">2:20–21</w:t>
            </w:r>
          </w:p>
        </w:tc>
        <w:tc>
          <w:tcPr/>
          <w:p>
            <w:pPr>
              <w:pStyle w:val="Compact"/>
            </w:pPr>
            <w:r>
              <w:t xml:space="preserve">The household metaphor: vessels of gold, silver, wood, clay — some for honorable use, some not; cleanse yourself from dishonorable use and you will be useful to the master</w:t>
            </w:r>
          </w:p>
        </w:tc>
        <w:tc>
          <w:tcPr/>
          <w:p>
            <w:pPr>
              <w:pStyle w:val="Compact"/>
            </w:pPr>
            <w:r>
              <w:t xml:space="preserve">Function within God’s household; the call is to intentional sanctification for ministerial usefulness</w:t>
            </w:r>
          </w:p>
        </w:tc>
      </w:tr>
      <w:tr>
        <w:tc>
          <w:tcPr/>
          <w:p>
            <w:pPr>
              <w:pStyle w:val="Compact"/>
            </w:pPr>
            <w:r>
              <w:t xml:space="preserve">2:22</w:t>
            </w:r>
          </w:p>
        </w:tc>
        <w:tc>
          <w:tcPr/>
          <w:p>
            <w:pPr>
              <w:pStyle w:val="Compact"/>
            </w:pPr>
            <w:r>
              <w:t xml:space="preserve">Flee youthful passions; pursue righteousness, faith, love, and peace with those who call on the Lord from a pure heart</w:t>
            </w:r>
          </w:p>
        </w:tc>
        <w:tc>
          <w:tcPr/>
          <w:p>
            <w:pPr>
              <w:pStyle w:val="Compact"/>
            </w:pPr>
            <w:r>
              <w:t xml:space="preserve">The positive counterpart to</w:t>
            </w:r>
            <w:r>
              <w:t xml:space="preserve"> </w:t>
            </w:r>
            <w:r>
              <w:t xml:space="preserve">“flee”</w:t>
            </w:r>
            <w:r>
              <w:t xml:space="preserve">; community of virtue — not solitary pursuit</w:t>
            </w:r>
          </w:p>
        </w:tc>
      </w:tr>
      <w:tr>
        <w:tc>
          <w:tcPr/>
          <w:p>
            <w:pPr>
              <w:pStyle w:val="Compact"/>
            </w:pPr>
            <w:r>
              <w:t xml:space="preserve">2:23–24</w:t>
            </w:r>
          </w:p>
        </w:tc>
        <w:tc>
          <w:tcPr/>
          <w:p>
            <w:pPr>
              <w:pStyle w:val="Compact"/>
            </w:pPr>
            <w:r>
              <w:t xml:space="preserve">Refuse foolish and ignorant controversies; the Lord’s servant must not be quarrelsome but kind to everyone, able to teach, patiently enduring evil</w:t>
            </w:r>
          </w:p>
        </w:tc>
        <w:tc>
          <w:tcPr/>
          <w:p>
            <w:pPr>
              <w:pStyle w:val="Compact"/>
            </w:pPr>
            <w:r>
              <w:t xml:space="preserve">The</w:t>
            </w:r>
            <w:r>
              <w:t xml:space="preserve"> </w:t>
            </w:r>
            <w:r>
              <w:rPr>
                <w:i/>
                <w:iCs/>
              </w:rPr>
              <w:t xml:space="preserve">doulos kyriou</w:t>
            </w:r>
            <w:r>
              <w:t xml:space="preserve"> </w:t>
            </w:r>
            <w:r>
              <w:t xml:space="preserve">(servant of the Lord) — character profile of the faithful minister contrasted with the quarrelsome false teacher</w:t>
            </w:r>
          </w:p>
        </w:tc>
      </w:tr>
      <w:tr>
        <w:tc>
          <w:tcPr/>
          <w:p>
            <w:pPr>
              <w:pStyle w:val="Compact"/>
            </w:pPr>
            <w:r>
              <w:t xml:space="preserve">2:25–26</w:t>
            </w:r>
          </w:p>
        </w:tc>
        <w:tc>
          <w:tcPr/>
          <w:p>
            <w:pPr>
              <w:pStyle w:val="Compact"/>
            </w:pPr>
            <w:r>
              <w:t xml:space="preserve">Correct opponents with gentleness; God may grant them repentance leading to knowledge of the truth; they may escape from the snare of the devil</w:t>
            </w:r>
          </w:p>
        </w:tc>
        <w:tc>
          <w:tcPr/>
          <w:p>
            <w:pPr>
              <w:pStyle w:val="Compact"/>
            </w:pPr>
            <w:r>
              <w:t xml:space="preserve">Even correction of false teachers is governed by hope of their restoration; sovereign grace underlies the call to gentle correction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2:1–2</w:t>
            </w:r>
          </w:p>
        </w:tc>
        <w:tc>
          <w:tcPr/>
          <w:p>
            <w:pPr>
              <w:pStyle w:val="Compact"/>
            </w:pPr>
            <w:r>
              <w:t xml:space="preserve">The Transmission Imperative: Receive, Be Strengthened, Entrust</w:t>
            </w:r>
          </w:p>
        </w:tc>
      </w:tr>
      <w:tr>
        <w:tc>
          <w:tcPr/>
          <w:p>
            <w:pPr>
              <w:pStyle w:val="Compact"/>
            </w:pPr>
            <w:r>
              <w:t xml:space="preserve">2</w:t>
            </w:r>
          </w:p>
        </w:tc>
        <w:tc>
          <w:tcPr/>
          <w:p>
            <w:pPr>
              <w:pStyle w:val="Compact"/>
            </w:pPr>
            <w:r>
              <w:t xml:space="preserve">2:3–7</w:t>
            </w:r>
          </w:p>
        </w:tc>
        <w:tc>
          <w:tcPr/>
          <w:p>
            <w:pPr>
              <w:pStyle w:val="Compact"/>
            </w:pPr>
            <w:r>
              <w:t xml:space="preserve">Three Metaphors for Ministerial Endurance: Soldier, Athlete, Farmer</w:t>
            </w:r>
          </w:p>
        </w:tc>
      </w:tr>
      <w:tr>
        <w:tc>
          <w:tcPr/>
          <w:p>
            <w:pPr>
              <w:pStyle w:val="Compact"/>
            </w:pPr>
            <w:r>
              <w:t xml:space="preserve">3</w:t>
            </w:r>
          </w:p>
        </w:tc>
        <w:tc>
          <w:tcPr/>
          <w:p>
            <w:pPr>
              <w:pStyle w:val="Compact"/>
            </w:pPr>
            <w:r>
              <w:t xml:space="preserve">2:8–13</w:t>
            </w:r>
          </w:p>
        </w:tc>
        <w:tc>
          <w:tcPr/>
          <w:p>
            <w:pPr>
              <w:pStyle w:val="Compact"/>
            </w:pPr>
            <w:r>
              <w:t xml:space="preserve">The Christological and Soteriological Anchor for Endurance</w:t>
            </w:r>
          </w:p>
        </w:tc>
      </w:tr>
      <w:tr>
        <w:tc>
          <w:tcPr/>
          <w:p>
            <w:pPr>
              <w:pStyle w:val="Compact"/>
            </w:pPr>
            <w:r>
              <w:t xml:space="preserve">4</w:t>
            </w:r>
          </w:p>
        </w:tc>
        <w:tc>
          <w:tcPr/>
          <w:p>
            <w:pPr>
              <w:pStyle w:val="Compact"/>
            </w:pPr>
            <w:r>
              <w:t xml:space="preserve">2:14–18</w:t>
            </w:r>
          </w:p>
        </w:tc>
        <w:tc>
          <w:tcPr/>
          <w:p>
            <w:pPr>
              <w:pStyle w:val="Compact"/>
            </w:pPr>
            <w:r>
              <w:t xml:space="preserve">The Doctrinal Threat: Word-Battles, False Handling, and Named Error</w:t>
            </w:r>
          </w:p>
        </w:tc>
      </w:tr>
      <w:tr>
        <w:tc>
          <w:tcPr/>
          <w:p>
            <w:pPr>
              <w:pStyle w:val="Compact"/>
            </w:pPr>
            <w:r>
              <w:t xml:space="preserve">5</w:t>
            </w:r>
          </w:p>
        </w:tc>
        <w:tc>
          <w:tcPr/>
          <w:p>
            <w:pPr>
              <w:pStyle w:val="Compact"/>
            </w:pPr>
            <w:r>
              <w:t xml:space="preserve">2:19–21</w:t>
            </w:r>
          </w:p>
        </w:tc>
        <w:tc>
          <w:tcPr/>
          <w:p>
            <w:pPr>
              <w:pStyle w:val="Compact"/>
            </w:pPr>
            <w:r>
              <w:t xml:space="preserve">The Firm Foundation and the Call to Separated Usefulness</w:t>
            </w:r>
          </w:p>
        </w:tc>
      </w:tr>
      <w:tr>
        <w:tc>
          <w:tcPr/>
          <w:p>
            <w:pPr>
              <w:pStyle w:val="Compact"/>
            </w:pPr>
            <w:r>
              <w:t xml:space="preserve">6</w:t>
            </w:r>
          </w:p>
        </w:tc>
        <w:tc>
          <w:tcPr/>
          <w:p>
            <w:pPr>
              <w:pStyle w:val="Compact"/>
            </w:pPr>
            <w:r>
              <w:t xml:space="preserve">2:22–26</w:t>
            </w:r>
          </w:p>
        </w:tc>
        <w:tc>
          <w:tcPr/>
          <w:p>
            <w:pPr>
              <w:pStyle w:val="Compact"/>
            </w:pPr>
            <w:r>
              <w:t xml:space="preserve">The Character Profile of the Faithful Minister: Flee, Pursue, Correct Gently</w:t>
            </w:r>
          </w:p>
        </w:tc>
      </w:tr>
    </w:tbl>
    <w:p>
      <w:r>
        <w:pict>
          <v:rect style="width:0;height:1.5pt" o:hralign="center" o:hrstd="t" o:hr="t"/>
        </w:pict>
      </w:r>
    </w:p>
    <w:p>
      <w:pPr>
        <w:pStyle w:val="FirstParagraph"/>
      </w:pPr>
      <w:r>
        <w:rPr>
          <w:b/>
          <w:bCs/>
        </w:rPr>
        <w:t xml:space="preserve">Subject Sentence:</w:t>
      </w:r>
      <w:r>
        <w:t xml:space="preserve"> </w:t>
      </w:r>
      <w:r>
        <w:t xml:space="preserve">Gospel ministry demands enduring, grace-fueled faithfulness amid hardship and false teaching.</w:t>
      </w:r>
    </w:p>
    <w:p>
      <w:pPr>
        <w:pStyle w:val="BodyText"/>
      </w:pPr>
      <w:r>
        <w:rPr>
          <w:b/>
          <w:bCs/>
        </w:rPr>
        <w:t xml:space="preserve">Primary Claim:</w:t>
      </w:r>
      <w:r>
        <w:t xml:space="preserve"> </w:t>
      </w:r>
      <w:r>
        <w:t xml:space="preserve">God is calling every minister — and every believer entrusted with gospel truth — to endure with disciplined resolve, because the risen Christ and His unshakeable foundation make such endurance both possible and necessary for the salvation of the elect.</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Reframe the source of ministerial and personal strength.</w:t>
      </w:r>
      <w:r>
        <w:t xml:space="preserve"> </w:t>
      </w:r>
      <w:r>
        <w:t xml:space="preserve">The imperative of verse 1 is passive:</w:t>
      </w:r>
      <w:r>
        <w:t xml:space="preserve"> </w:t>
      </w:r>
      <w:r>
        <w:rPr>
          <w:i/>
          <w:iCs/>
        </w:rPr>
        <w:t xml:space="preserve">be strengthened</w:t>
      </w:r>
      <w:r>
        <w:t xml:space="preserve"> </w:t>
      </w:r>
      <w:r>
        <w:t xml:space="preserve">in the grace that is in Christ Jesus — not</w:t>
      </w:r>
      <w:r>
        <w:t xml:space="preserve"> </w:t>
      </w:r>
      <w:r>
        <w:rPr>
          <w:i/>
          <w:iCs/>
        </w:rPr>
        <w:t xml:space="preserve">strengthen yourself</w:t>
      </w:r>
      <w:r>
        <w:t xml:space="preserve">. The most common failure in sustained gospel work is treating endurance as a personal capacity to be cultivated rather than a grace to be received. If you are running dry in ministry, in parenting, in bearing witness, in fighting sin, the question is not</w:t>
      </w:r>
      <w:r>
        <w:t xml:space="preserve"> </w:t>
      </w:r>
      <w:r>
        <w:t xml:space="preserve">“what more effort can I bring?”</w:t>
      </w:r>
      <w:r>
        <w:t xml:space="preserve"> </w:t>
      </w:r>
      <w:r>
        <w:t xml:space="preserve">but</w:t>
      </w:r>
      <w:r>
        <w:t xml:space="preserve"> </w:t>
      </w:r>
      <w:r>
        <w:t xml:space="preserve">“am I drawing on the grace that is in Christ, or am I trying to manufacture what only He can supply?”</w:t>
      </w:r>
      <w:r>
        <w:t xml:space="preserve"> </w:t>
      </w:r>
      <w:r>
        <w:t xml:space="preserve">The chapter begins here because everything else — the soldier’s focus, the farmer’s labor, the workman’s precision — is downstream of this supply. Receive before you give. Be strengthened before you endure.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Let the resurrection of Christ become the affective center of your endurance.</w:t>
      </w:r>
      <w:r>
        <w:t xml:space="preserve"> </w:t>
      </w:r>
      <w:r>
        <w:t xml:space="preserve">Verse 8 is not a doctrinal footnote — it is a command:</w:t>
      </w:r>
      <w:r>
        <w:t xml:space="preserve"> </w:t>
      </w:r>
      <w:r>
        <w:rPr>
          <w:i/>
          <w:iCs/>
        </w:rPr>
        <w:t xml:space="preserve">remember Jesus Christ, risen from the dead</w:t>
      </w:r>
      <w:r>
        <w:t xml:space="preserve">. Paul is in chains. The false teachers are spreading gangrene. Timothy is tempted toward shame. And the apostle’s answer is not a strategy — it is a person. The risen Christ is the emotional and doxological fuel for endurance that no technique can replicate. When the word of God feels ineffective, when suffering seems pointless, when error seems to be winning — the answer is not to work harder but to</w:t>
      </w:r>
      <w:r>
        <w:t xml:space="preserve"> </w:t>
      </w:r>
      <w:r>
        <w:rPr>
          <w:i/>
          <w:iCs/>
        </w:rPr>
        <w:t xml:space="preserve">remember Him</w:t>
      </w:r>
      <w:r>
        <w:t xml:space="preserve">: that He rose, that He reigns, that He is of the seed of David and therefore every promise made to that lineage is secure. Cultivate a devotional life that returns to the resurrection not as a fact to be filed but as a reality to be felt.</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Handle the word of truth with the precision and care it demands.</w:t>
      </w:r>
      <w:r>
        <w:t xml:space="preserve"> </w:t>
      </w:r>
      <w:r>
        <w:t xml:space="preserve">Verse 15’s</w:t>
      </w:r>
      <w:r>
        <w:t xml:space="preserve"> </w:t>
      </w:r>
      <w:r>
        <w:rPr>
          <w:i/>
          <w:iCs/>
        </w:rPr>
        <w:t xml:space="preserve">orthotomounta</w:t>
      </w:r>
      <w:r>
        <w:t xml:space="preserve"> </w:t>
      </w:r>
      <w:r>
        <w:t xml:space="preserve">—</w:t>
      </w:r>
      <w:r>
        <w:t xml:space="preserve"> </w:t>
      </w:r>
      <w:r>
        <w:t xml:space="preserve">“rightly handling”</w:t>
      </w:r>
      <w:r>
        <w:t xml:space="preserve"> </w:t>
      </w:r>
      <w:r>
        <w:t xml:space="preserve">or</w:t>
      </w:r>
      <w:r>
        <w:t xml:space="preserve"> </w:t>
      </w:r>
      <w:r>
        <w:t xml:space="preserve">“cutting straight”</w:t>
      </w:r>
      <w:r>
        <w:t xml:space="preserve"> </w:t>
      </w:r>
      <w:r>
        <w:t xml:space="preserve">— is a call to disciplined, accurate work with Scripture. The contrast with Hymenaeus and Philetus is not between passion and coldness but between precision and sloppiness. The workman who has no need to be ashamed is the one who does not cut corners — who does not read into the text, who does not flatten distinctions the text is making, who does not use a verse to mean something its context resists. Practically: before you teach, before you post, before you counsel from Scripture, ask whether you have done the work of the approved workman — whether you can account for the verse in context, in argument, in redemptive-historical location. Laziness with the text is not a personal failing; it is harm to the hearers.</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 Allow God’s firm foundation — not the visible condition of the church — to be your security.</w:t>
      </w:r>
      <w:r>
        <w:t xml:space="preserve"> </w:t>
      </w:r>
      <w:r>
        <w:t xml:space="preserve">Verse 19 arrives after the devastation of verses 16–18: false teaching spreading like gangrene, faith of some being upset. It would be easy to read the visible situation and conclude the church is failing. But Paul’s word is:</w:t>
      </w:r>
      <w:r>
        <w:t xml:space="preserve"> </w:t>
      </w:r>
      <w:r>
        <w:rPr>
          <w:i/>
          <w:iCs/>
        </w:rPr>
        <w:t xml:space="preserve">God’s firm foundation stands</w:t>
      </w:r>
      <w:r>
        <w:t xml:space="preserve">. The Lord knows those who are His. Hymenaeus and Philetus cannot access that registry. The false teacher cannot revise that seal. Let this truth move you from anxiety about the visible chaos of the church to settled confidence in what God is doing beneath and through it. Your security as a believer, and your security as a minister, is not the apparent health of the visible church — it is the Lord’s unrevised, unshaken knowledge of His own.</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 Correct false teaching and difficult people with gentleness, not contempt — because God may grant them repentance.</w:t>
      </w:r>
      <w:r>
        <w:t xml:space="preserve"> </w:t>
      </w:r>
      <w:r>
        <w:t xml:space="preserve">Verses 25–26 are easy to skip because they apply to the very people who are causing damage — the opponents, the quarrelsome, those who may be in the devil’s snare. But the Lord’s servant corrects</w:t>
      </w:r>
      <w:r>
        <w:t xml:space="preserve"> </w:t>
      </w:r>
      <w:r>
        <w:rPr>
          <w:i/>
          <w:iCs/>
        </w:rPr>
        <w:t xml:space="preserve">with gentleness</w:t>
      </w:r>
      <w:r>
        <w:t xml:space="preserve">, and the reason is sovereign:</w:t>
      </w:r>
      <w:r>
        <w:t xml:space="preserve"> </w:t>
      </w:r>
      <w:r>
        <w:rPr>
          <w:i/>
          <w:iCs/>
        </w:rPr>
        <w:t xml:space="preserve">God may grant them repentance</w:t>
      </w:r>
      <w:r>
        <w:t xml:space="preserve">. The correction is not hopeless, because the transformation required is God’s to give. Practically: before you write off the theologically confused person in your small group, the contentious colleague, the person spreading error in your church — ask whether your manner of correction is consistent with hope for their restoration. Contempt forecloses what gentleness leaves open. This is not weakness — it is alignment with the sovereign grace that may yet reach them.</w:t>
      </w:r>
    </w:p>
    <w:p>
      <w:r>
        <w:pict>
          <v:rect style="width:0;height:1.5pt" o:hralign="center" o:hrstd="t" o:hr="t"/>
        </w:pict>
      </w:r>
    </w:p>
    <w:p>
      <w:pPr>
        <w:pStyle w:val="FirstParagraph"/>
      </w:pPr>
      <w:r>
        <w:rPr>
          <w:b/>
          <w:bCs/>
        </w:rPr>
        <w:t xml:space="preserve">Theological Importance:</w:t>
      </w:r>
    </w:p>
    <w:p>
      <w:pPr>
        <w:pStyle w:val="BodyText"/>
      </w:pPr>
      <w:r>
        <w:t xml:space="preserve">Second Timothy 2 establishes that gospel ministry is sustained not by human competence or institutional stability but by the grace located in the risen Christ and the sovereign knowledge of God over His elect. The chapter’s christological anchor in verse 8 — Christ risen from the dead, of the seed of David — holds together the historical particularity of the resurrection and the covenantal continuity of God’s promises, showing that endurance in ministry is not merely noble but theologically warranted. The</w:t>
      </w:r>
      <w:r>
        <w:t xml:space="preserve"> </w:t>
      </w:r>
      <w:r>
        <w:t xml:space="preserve">“firm foundation”</w:t>
      </w:r>
      <w:r>
        <w:t xml:space="preserve"> </w:t>
      </w:r>
      <w:r>
        <w:t xml:space="preserve">of verse 19 teaches that the visible erosion of doctrine within a community does not constitute the erosion of God’s purposes — the Lord’s knowledge of His own is not contingent on the health of any institution or the faithfulness of any teacher. The passage also teaches that the word of God operates independently of the circumstances of its messengers — Paul is chained, but the word is not — which is the ground for missionary and ministerial confidence in every generation.</w:t>
      </w:r>
    </w:p>
    <w:p>
      <w:r>
        <w:pict>
          <v:rect style="width:0;height:1.5pt" o:hralign="center" o:hrstd="t" o:hr="t"/>
        </w:pict>
      </w:r>
    </w:p>
    <w:p>
      <w:pPr>
        <w:pStyle w:val="FirstParagraph"/>
      </w:pPr>
      <w:r>
        <w:rPr>
          <w:b/>
          <w:bCs/>
        </w:rPr>
        <w:t xml:space="preserve">Reformed Theological Significance:</w:t>
      </w:r>
    </w:p>
    <w:p>
      <w:pPr>
        <w:pStyle w:val="BodyText"/>
      </w:pPr>
      <w:r>
        <w:t xml:space="preserve">This chapter is a locus classicus for the Reformed understanding of the relationship between divine sovereignty and human ministerial responsibility. The call to endure</w:t>
      </w:r>
      <w:r>
        <w:t xml:space="preserve"> </w:t>
      </w:r>
      <w:r>
        <w:t xml:space="preserve">“for the sake of the elect”</w:t>
      </w:r>
      <w:r>
        <w:t xml:space="preserve"> </w:t>
      </w:r>
      <w:r>
        <w:t xml:space="preserve">(v. 10) does not produce fatalism but energizes effort — because the elect must be gathered, the gospel must be preached, and the preaching of faithful ministers is the appointed means. The double seal of verse 19 —</w:t>
      </w:r>
      <w:r>
        <w:t xml:space="preserve"> </w:t>
      </w:r>
      <w:r>
        <w:t xml:space="preserve">“the Lord knows those who are His”</w:t>
      </w:r>
      <w:r>
        <w:t xml:space="preserve"> </w:t>
      </w:r>
      <w:r>
        <w:t xml:space="preserve">and</w:t>
      </w:r>
      <w:r>
        <w:t xml:space="preserve"> </w:t>
      </w:r>
      <w:r>
        <w:t xml:space="preserve">“let everyone who names the Lord depart from iniquity”</w:t>
      </w:r>
      <w:r>
        <w:t xml:space="preserve"> </w:t>
      </w:r>
      <w:r>
        <w:t xml:space="preserve">— displays the characteristic Reformed conjunction of divine election and human obligation without collapsing one into the other. The firm foundation is both unconditionally secure (He knows His own) and practically demanding (depart from iniquity). Furthermore, the chapter’s consistent emphasis on</w:t>
      </w:r>
      <w:r>
        <w:t xml:space="preserve"> </w:t>
      </w:r>
      <w:r>
        <w:rPr>
          <w:i/>
          <w:iCs/>
        </w:rPr>
        <w:t xml:space="preserve">grace</w:t>
      </w:r>
      <w:r>
        <w:t xml:space="preserve"> </w:t>
      </w:r>
      <w:r>
        <w:t xml:space="preserve">as the operative power behind faithful ministry (v. 1),</w:t>
      </w:r>
      <w:r>
        <w:t xml:space="preserve"> </w:t>
      </w:r>
      <w:r>
        <w:rPr>
          <w:i/>
          <w:iCs/>
        </w:rPr>
        <w:t xml:space="preserve">Christ’s resurrection</w:t>
      </w:r>
      <w:r>
        <w:t xml:space="preserve"> </w:t>
      </w:r>
      <w:r>
        <w:t xml:space="preserve">as the theological anchor (v. 8), and</w:t>
      </w:r>
      <w:r>
        <w:t xml:space="preserve"> </w:t>
      </w:r>
      <w:r>
        <w:rPr>
          <w:i/>
          <w:iCs/>
        </w:rPr>
        <w:t xml:space="preserve">repentance as God’s gift</w:t>
      </w:r>
      <w:r>
        <w:t xml:space="preserve"> </w:t>
      </w:r>
      <w:r>
        <w:t xml:space="preserve">(v. 25) — all flow from the Reformed insistence that even sanctification and perseverance are the fruit of sovereign grace, not autonomous human virtue.</w:t>
      </w:r>
    </w:p>
    <w:p>
      <w:r>
        <w:pict>
          <v:rect style="width:0;height:1.5pt" o:hralign="center" o:hrstd="t" o:hr="t"/>
        </w:pict>
      </w:r>
    </w:p>
    <w:p>
      <w:pPr>
        <w:pStyle w:val="FirstParagraph"/>
      </w:pPr>
      <w:r>
        <w:rPr>
          <w:b/>
          <w:bCs/>
        </w:rPr>
        <w:t xml:space="preserve">Main Takeaway:</w:t>
      </w:r>
    </w:p>
    <w:p>
      <w:pPr>
        <w:pStyle w:val="BodyText"/>
      </w:pPr>
      <w:r>
        <w:t xml:space="preserve">The risen Christ and God’s unshakeable knowledge of His own are not background doctrines — they are the living fuel for your endurance in gospel work. When the word seems ineffective, when false teaching is spreading, when ministry costs more than you thought — Paul’s answer is not a strategy adjustment but a theological anchor: Christ rose, God’s foundation stands, and the elect will obtain salvation. That is why you endure. Now pick up the word, cut it straight, and correct your opponents gently — because God may yet grant them repentance.</w:t>
      </w:r>
    </w:p>
    <w:p>
      <w:r>
        <w:pict>
          <v:rect style="width:0;height:1.5pt" o:hralign="center" o:hrstd="t" o:hr="t"/>
        </w:pict>
      </w:r>
    </w:p>
    <w:bookmarkEnd w:id="14"/>
    <w:bookmarkStart w:id="15" w:name="preachingteaching-pitfalls"/>
    <w:p>
      <w:pPr>
        <w:pStyle w:val="Heading2"/>
      </w:pPr>
      <w:r>
        <w:t xml:space="preserve">Preaching/Teaching Pitfalls</w:t>
      </w:r>
    </w:p>
    <w:p>
      <w:pPr>
        <w:numPr>
          <w:ilvl w:val="0"/>
          <w:numId w:val="1002"/>
        </w:numPr>
      </w:pPr>
      <w:r>
        <w:rPr>
          <w:b/>
          <w:bCs/>
        </w:rPr>
        <w:t xml:space="preserve">Treating verse 2 as a church-growth strategy rather than a doctrinal-fidelity imperative.</w:t>
      </w:r>
      <w:r>
        <w:t xml:space="preserve"> </w:t>
      </w:r>
      <w:r>
        <w:t xml:space="preserve">The</w:t>
      </w:r>
      <w:r>
        <w:t xml:space="preserve"> </w:t>
      </w:r>
      <w:r>
        <w:t xml:space="preserve">“faithful men”</w:t>
      </w:r>
      <w:r>
        <w:t xml:space="preserve"> </w:t>
      </w:r>
      <w:r>
        <w:t xml:space="preserve">passage is regularly deployed in discussions of ministry multiplication, leadership pipelines, and discipleship programs. While none of this is wrong, it can subtly shift the emphasis from</w:t>
      </w:r>
      <w:r>
        <w:t xml:space="preserve"> </w:t>
      </w:r>
      <w:r>
        <w:rPr>
          <w:i/>
          <w:iCs/>
        </w:rPr>
        <w:t xml:space="preserve">fidelity to the deposit</w:t>
      </w:r>
      <w:r>
        <w:t xml:space="preserve"> </w:t>
      </w:r>
      <w:r>
        <w:t xml:space="preserve">to</w:t>
      </w:r>
      <w:r>
        <w:t xml:space="preserve"> </w:t>
      </w:r>
      <w:r>
        <w:rPr>
          <w:i/>
          <w:iCs/>
        </w:rPr>
        <w:t xml:space="preserve">efficiency of transmission</w:t>
      </w:r>
      <w:r>
        <w:t xml:space="preserve">. Paul’s concern is not that Timothy recruit widely but that he entrust carefully — and the criterion is trustworthiness to the content, not organizational aptitude. Preach the verse as a call to theological seriousness in those entrusted with teaching, not merely as a leadership development principle.</w:t>
      </w:r>
    </w:p>
    <w:p>
      <w:pPr>
        <w:numPr>
          <w:ilvl w:val="0"/>
          <w:numId w:val="1002"/>
        </w:numPr>
      </w:pPr>
      <w:r>
        <w:rPr>
          <w:b/>
          <w:bCs/>
        </w:rPr>
        <w:t xml:space="preserve">Preaching verse 15 (</w:t>
      </w:r>
      <w:r>
        <w:rPr>
          <w:b/>
          <w:bCs/>
        </w:rPr>
        <w:t xml:space="preserve">“rightly handling the word of truth”</w:t>
      </w:r>
      <w:r>
        <w:rPr>
          <w:b/>
          <w:bCs/>
        </w:rPr>
        <w:t xml:space="preserve">) as a professional skill rather than a character demand.</w:t>
      </w:r>
      <w:r>
        <w:t xml:space="preserve"> </w:t>
      </w:r>
      <w:r>
        <w:rPr>
          <w:i/>
          <w:iCs/>
        </w:rPr>
        <w:t xml:space="preserve">Orthotomounta</w:t>
      </w:r>
      <w:r>
        <w:t xml:space="preserve"> </w:t>
      </w:r>
      <w:r>
        <w:t xml:space="preserve">is embedded in a verse about presenting oneself to God as</w:t>
      </w:r>
      <w:r>
        <w:t xml:space="preserve"> </w:t>
      </w:r>
      <w:r>
        <w:rPr>
          <w:i/>
          <w:iCs/>
        </w:rPr>
        <w:t xml:space="preserve">approved</w:t>
      </w:r>
      <w:r>
        <w:t xml:space="preserve"> </w:t>
      </w:r>
      <w:r>
        <w:t xml:space="preserve">— the frame is one of accountability before God, not merely competence in a craft. The workman who has no need to be ashamed is not the exegetically sophisticated preacher but the one whose handling of Scripture reflects integrity of motive, labor, and accuracy. Do not reduce this to a hermeneutics lecture; keep the eschatological accountability in the frame.</w:t>
      </w:r>
    </w:p>
    <w:p>
      <w:pPr>
        <w:numPr>
          <w:ilvl w:val="0"/>
          <w:numId w:val="1002"/>
        </w:numPr>
      </w:pPr>
      <w:r>
        <w:rPr>
          <w:b/>
          <w:bCs/>
        </w:rPr>
        <w:t xml:space="preserve">Using verse 13 (</w:t>
      </w:r>
      <w:r>
        <w:rPr>
          <w:b/>
          <w:bCs/>
        </w:rPr>
        <w:t xml:space="preserve">“if we are faithless, he remains faithful”</w:t>
      </w:r>
      <w:r>
        <w:rPr>
          <w:b/>
          <w:bCs/>
        </w:rPr>
        <w:t xml:space="preserve">) to comfort those in ongoing, unrepentant apostasy.</w:t>
      </w:r>
      <w:r>
        <w:t xml:space="preserve"> </w:t>
      </w:r>
      <w:r>
        <w:t xml:space="preserve">This line is regularly extracted to assure believers that even their worst moments of doubt or failure cannot undermine Christ’s faithfulness. While it is true that Christ’s faithfulness is not contingent on ours, the verse sits within a structured saying that includes</w:t>
      </w:r>
      <w:r>
        <w:t xml:space="preserve"> </w:t>
      </w:r>
      <w:r>
        <w:t xml:space="preserve">“if we deny Him, He will deny us.”</w:t>
      </w:r>
      <w:r>
        <w:t xml:space="preserve"> </w:t>
      </w:r>
      <w:r>
        <w:t xml:space="preserve">The faithlessness in verse 13b is best read as a further negative condition — if we are utterly faithless (i.e., apostate), He is faithful to His own word of warning, including the warning of verse 12b. The verse is not primarily a comfort for the struggling believer; it is a declaration that Christ’s character is consistent and His word is reliable — for warning and for promise alike. Preach it in context.</w:t>
      </w:r>
    </w:p>
    <w:p>
      <w:pPr>
        <w:numPr>
          <w:ilvl w:val="0"/>
          <w:numId w:val="1002"/>
        </w:numPr>
      </w:pPr>
      <w:r>
        <w:rPr>
          <w:b/>
          <w:bCs/>
        </w:rPr>
        <w:t xml:space="preserve">Skipping the named false teachers (Hymenaeus and Philetus) as merely historical footnotes.</w:t>
      </w:r>
      <w:r>
        <w:t xml:space="preserve"> </w:t>
      </w:r>
      <w:r>
        <w:t xml:space="preserve">The naming of false teachers in verse 17 is a pastoral and doctrinal act, not gossip. Paul models that doctrinal error is not abstract — it is carried by specific people, it produces specific harm (gangrene; upsetting faith), and it requires specific identification. The temptation in contemporary preaching is to generalize the warning without naming the pattern. While prudence governs specific contemporary applications, the preacher should resist the impulse to abstract Paul’s very concrete, personal warning into a vague caution about</w:t>
      </w:r>
      <w:r>
        <w:t xml:space="preserve"> </w:t>
      </w:r>
      <w:r>
        <w:t xml:space="preserve">“wrong ideas.”</w:t>
      </w:r>
    </w:p>
    <w:p>
      <w:pPr>
        <w:numPr>
          <w:ilvl w:val="0"/>
          <w:numId w:val="1002"/>
        </w:numPr>
      </w:pPr>
      <w:r>
        <w:rPr>
          <w:b/>
          <w:bCs/>
        </w:rPr>
        <w:t xml:space="preserve">Preaching the soldier/athlete/farmer metaphors as motivational exhortations disconnected from their christological anchor.</w:t>
      </w:r>
      <w:r>
        <w:t xml:space="preserve"> </w:t>
      </w:r>
      <w:r>
        <w:t xml:space="preserve">Verses 3–7 are potent in isolation — they generate fine sermon illustrations about discipline and focus. But they are immediately followed by verse 8:</w:t>
      </w:r>
      <w:r>
        <w:t xml:space="preserve"> </w:t>
      </w:r>
      <w:r>
        <w:rPr>
          <w:i/>
          <w:iCs/>
        </w:rPr>
        <w:t xml:space="preserve">remember Jesus Christ</w:t>
      </w:r>
      <w:r>
        <w:t xml:space="preserve">. The metaphors are not free-standing calls to personal grit; they are meant to be inhabited in light of who has commissioned the soldier, who sets the rules for the athlete, and who guarantees the harvest for the farmer — namely, the risen Lord. Preach the metaphors through the lens of verse 8, not as motivational material that happens to be in a Christian letter.</w:t>
      </w:r>
    </w:p>
    <w:p>
      <w:pPr>
        <w:numPr>
          <w:ilvl w:val="0"/>
          <w:numId w:val="1002"/>
        </w:numPr>
      </w:pPr>
      <w:r>
        <w:rPr>
          <w:b/>
          <w:bCs/>
        </w:rPr>
        <w:t xml:space="preserve">Treating the gentle correction of opponents (vv. 25–26) as naive or as a capitulation to false teaching.</w:t>
      </w:r>
      <w:r>
        <w:t xml:space="preserve"> </w:t>
      </w:r>
      <w:r>
        <w:t xml:space="preserve">In a cultural moment that rewards theological combativeness, Paul’s call to correct with gentleness can be dismissed as impractical or soft. The preacher must show that gentleness here is not the absence of conviction — Paul has just spent verses 14–18 naming error, identifying its damage, and calling it gangrene. Gentleness is the</w:t>
      </w:r>
      <w:r>
        <w:t xml:space="preserve"> </w:t>
      </w:r>
      <w:r>
        <w:rPr>
          <w:i/>
          <w:iCs/>
        </w:rPr>
        <w:t xml:space="preserve">manner</w:t>
      </w:r>
      <w:r>
        <w:t xml:space="preserve"> </w:t>
      </w:r>
      <w:r>
        <w:t xml:space="preserve">of correction, not the absence of it. And the reason for gentleness is not temperamental but theological: God</w:t>
      </w:r>
      <w:r>
        <w:t xml:space="preserve"> </w:t>
      </w:r>
      <w:r>
        <w:rPr>
          <w:i/>
          <w:iCs/>
        </w:rPr>
        <w:t xml:space="preserve">may grant repentance</w:t>
      </w:r>
      <w:r>
        <w:t xml:space="preserve"> </w:t>
      </w:r>
      <w:r>
        <w:t xml:space="preserve">— which means even the most intransigent opponent is not beyond the reach of sovereign grace, and the manner of correction should be consistent with that hope.</w:t>
      </w:r>
    </w:p>
    <w:bookmarkEnd w:id="15"/>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2026-07-14T21:08:19Z</dcterms:created>
  <dcterms:modified xsi:type="dcterms:W3CDTF">2026-07-14T21:08:19Z</dcterms:modified>
</cp:coreProperties>
</file>

<file path=docProps/custom.xml><?xml version="1.0" encoding="utf-8"?>
<Properties xmlns="http://schemas.openxmlformats.org/officeDocument/2006/custom-properties" xmlns:vt="http://schemas.openxmlformats.org/officeDocument/2006/docPropsVTypes"/>
</file>